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557DE" w14:textId="77777777" w:rsidR="002A42C9" w:rsidRPr="002A42C9" w:rsidRDefault="002A42C9">
      <w:pPr>
        <w:rPr>
          <w:b/>
          <w:bCs/>
        </w:rPr>
      </w:pPr>
      <w:r w:rsidRPr="002A42C9">
        <w:rPr>
          <w:b/>
          <w:bCs/>
        </w:rPr>
        <w:t>Agenda Item 21 17</w:t>
      </w:r>
      <w:r w:rsidRPr="002A42C9">
        <w:rPr>
          <w:b/>
          <w:bCs/>
          <w:vertAlign w:val="superscript"/>
        </w:rPr>
        <w:t>th</w:t>
      </w:r>
      <w:r w:rsidRPr="002A42C9">
        <w:rPr>
          <w:b/>
          <w:bCs/>
        </w:rPr>
        <w:t xml:space="preserve"> April 2023</w:t>
      </w:r>
    </w:p>
    <w:p w14:paraId="78E765C6" w14:textId="77777777" w:rsidR="002A42C9" w:rsidRDefault="002A42C9"/>
    <w:p w14:paraId="432AE189" w14:textId="3748A4CF" w:rsidR="00A805DC" w:rsidRDefault="002A42C9">
      <w:r>
        <w:t>Risk Management Policy and Risk Register</w:t>
      </w:r>
    </w:p>
    <w:p w14:paraId="49DFA7E6" w14:textId="77777777" w:rsidR="002A42C9" w:rsidRDefault="002A42C9"/>
    <w:p w14:paraId="7A0FB993" w14:textId="77777777" w:rsidR="002A42C9" w:rsidRDefault="002A42C9">
      <w:r>
        <w:t>Refer to Current Policy online.</w:t>
      </w:r>
    </w:p>
    <w:p w14:paraId="381AED2B" w14:textId="7E0C20DF" w:rsidR="002A42C9" w:rsidRDefault="002A42C9">
      <w:r>
        <w:t xml:space="preserve">No amendments to be scheduled </w:t>
      </w:r>
    </w:p>
    <w:sectPr w:rsidR="002A42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2C9"/>
    <w:rsid w:val="002A42C9"/>
    <w:rsid w:val="00A8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092A8"/>
  <w15:chartTrackingRefBased/>
  <w15:docId w15:val="{528F8757-874E-47F2-A498-22C64C31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Clerk</dc:creator>
  <cp:keywords/>
  <dc:description/>
  <cp:lastModifiedBy>CPC Clerk</cp:lastModifiedBy>
  <cp:revision>1</cp:revision>
  <dcterms:created xsi:type="dcterms:W3CDTF">2023-04-13T12:01:00Z</dcterms:created>
  <dcterms:modified xsi:type="dcterms:W3CDTF">2023-04-13T12:06:00Z</dcterms:modified>
</cp:coreProperties>
</file>